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84" w:rsidRDefault="008707A0">
      <w:pPr>
        <w:pStyle w:val="ConsNormal"/>
        <w:widowControl/>
        <w:ind w:right="0" w:firstLine="0"/>
        <w:jc w:val="center"/>
        <w:rPr>
          <w:rFonts w:ascii="Times New Roman" w:hAnsi="Times New Roman"/>
          <w:sz w:val="24"/>
          <w:szCs w:val="24"/>
        </w:rPr>
      </w:pPr>
      <w:r>
        <w:rPr>
          <w:rFonts w:ascii="Times New Roman" w:hAnsi="Times New Roman"/>
          <w:b/>
          <w:sz w:val="24"/>
          <w:szCs w:val="24"/>
        </w:rPr>
        <w:t xml:space="preserve">                                  ИНФОРМАЦИЯ О ПРОВЕДЕНИИ АУКЦИОНА</w:t>
      </w:r>
      <w:r>
        <w:rPr>
          <w:rFonts w:ascii="Times New Roman" w:hAnsi="Times New Roman"/>
          <w:sz w:val="24"/>
          <w:szCs w:val="24"/>
        </w:rPr>
        <w:t xml:space="preserve">             .</w:t>
      </w:r>
    </w:p>
    <w:p w:rsidR="00206084" w:rsidRDefault="00206084">
      <w:pPr>
        <w:pStyle w:val="ConsNonformat"/>
        <w:widowControl/>
        <w:ind w:right="0"/>
        <w:jc w:val="both"/>
        <w:rPr>
          <w:rFonts w:ascii="Times New Roman" w:hAnsi="Times New Roman"/>
          <w:sz w:val="24"/>
          <w:szCs w:val="24"/>
        </w:rPr>
      </w:pPr>
    </w:p>
    <w:p w:rsidR="00206084" w:rsidRDefault="008707A0">
      <w:pPr>
        <w:pStyle w:val="ConsNormal"/>
        <w:widowControl/>
        <w:spacing w:after="240"/>
        <w:ind w:right="0" w:firstLine="567"/>
        <w:jc w:val="both"/>
        <w:rPr>
          <w:rFonts w:ascii="Times New Roman" w:hAnsi="Times New Roman"/>
          <w:sz w:val="24"/>
          <w:szCs w:val="24"/>
        </w:rPr>
      </w:pPr>
      <w:r>
        <w:rPr>
          <w:rFonts w:ascii="Times New Roman" w:hAnsi="Times New Roman"/>
          <w:sz w:val="24"/>
          <w:szCs w:val="24"/>
        </w:rPr>
        <w:t>Комитет по управлению имуществом Петушинского района, именуемый в дальнейшем «Организатор», сообщает о проведении аукциона, открытого по составу участников и по форме подачи заявок на право заключения договора на установку и эксплуатацию рекламной конструкции на территории Петушинского района.</w:t>
      </w:r>
    </w:p>
    <w:tbl>
      <w:tblPr>
        <w:tblW w:w="1041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526"/>
        <w:gridCol w:w="2409"/>
        <w:gridCol w:w="1555"/>
        <w:gridCol w:w="1665"/>
      </w:tblGrid>
      <w:tr w:rsidR="00206084">
        <w:tc>
          <w:tcPr>
            <w:tcW w:w="1260" w:type="dxa"/>
          </w:tcPr>
          <w:p w:rsidR="00206084" w:rsidRDefault="008707A0">
            <w:pPr>
              <w:tabs>
                <w:tab w:val="left" w:pos="708"/>
                <w:tab w:val="left" w:pos="5856"/>
              </w:tabs>
              <w:jc w:val="center"/>
              <w:rPr>
                <w:sz w:val="24"/>
              </w:rPr>
            </w:pPr>
            <w:r>
              <w:rPr>
                <w:sz w:val="24"/>
              </w:rPr>
              <w:t>№ лота</w:t>
            </w:r>
          </w:p>
        </w:tc>
        <w:tc>
          <w:tcPr>
            <w:tcW w:w="3526" w:type="dxa"/>
          </w:tcPr>
          <w:p w:rsidR="00206084" w:rsidRDefault="008707A0">
            <w:pPr>
              <w:tabs>
                <w:tab w:val="left" w:pos="708"/>
                <w:tab w:val="left" w:pos="5856"/>
              </w:tabs>
              <w:jc w:val="center"/>
              <w:rPr>
                <w:sz w:val="24"/>
              </w:rPr>
            </w:pPr>
            <w:r>
              <w:rPr>
                <w:sz w:val="24"/>
              </w:rPr>
              <w:t>Описание местоположения размещения рекламной конструкции</w:t>
            </w:r>
          </w:p>
        </w:tc>
        <w:tc>
          <w:tcPr>
            <w:tcW w:w="2409" w:type="dxa"/>
          </w:tcPr>
          <w:p w:rsidR="00206084" w:rsidRDefault="008707A0">
            <w:pPr>
              <w:tabs>
                <w:tab w:val="left" w:pos="708"/>
                <w:tab w:val="left" w:pos="5856"/>
              </w:tabs>
              <w:jc w:val="center"/>
              <w:rPr>
                <w:sz w:val="24"/>
              </w:rPr>
            </w:pPr>
            <w:r>
              <w:rPr>
                <w:sz w:val="24"/>
              </w:rPr>
              <w:t>Вид рекламной конструкции</w:t>
            </w:r>
          </w:p>
        </w:tc>
        <w:tc>
          <w:tcPr>
            <w:tcW w:w="1555" w:type="dxa"/>
          </w:tcPr>
          <w:p w:rsidR="00206084" w:rsidRDefault="008707A0">
            <w:pPr>
              <w:tabs>
                <w:tab w:val="left" w:pos="708"/>
                <w:tab w:val="left" w:pos="5856"/>
              </w:tabs>
              <w:jc w:val="center"/>
              <w:rPr>
                <w:sz w:val="24"/>
              </w:rPr>
            </w:pPr>
            <w:r>
              <w:rPr>
                <w:sz w:val="24"/>
              </w:rPr>
              <w:t>Площадь рекламной конструкции</w:t>
            </w:r>
          </w:p>
        </w:tc>
        <w:tc>
          <w:tcPr>
            <w:tcW w:w="1665" w:type="dxa"/>
          </w:tcPr>
          <w:p w:rsidR="00206084" w:rsidRDefault="008707A0">
            <w:pPr>
              <w:tabs>
                <w:tab w:val="left" w:pos="708"/>
                <w:tab w:val="left" w:pos="5856"/>
              </w:tabs>
              <w:jc w:val="center"/>
              <w:rPr>
                <w:sz w:val="24"/>
              </w:rPr>
            </w:pPr>
            <w:r>
              <w:rPr>
                <w:sz w:val="24"/>
              </w:rPr>
              <w:t>Цена договора на установку и эксплуатацию рекламной конструкции, руб.</w:t>
            </w:r>
          </w:p>
        </w:tc>
      </w:tr>
      <w:tr w:rsidR="00206084">
        <w:trPr>
          <w:trHeight w:val="559"/>
        </w:trPr>
        <w:tc>
          <w:tcPr>
            <w:tcW w:w="1260" w:type="dxa"/>
          </w:tcPr>
          <w:p w:rsidR="00206084" w:rsidRDefault="008707A0" w:rsidP="008707A0">
            <w:pPr>
              <w:shd w:val="clear" w:color="FFFFFF" w:fill="FFFFFF"/>
              <w:rPr>
                <w:sz w:val="24"/>
              </w:rPr>
            </w:pPr>
            <w:r>
              <w:rPr>
                <w:sz w:val="24"/>
              </w:rPr>
              <w:t>Лот № 1</w:t>
            </w:r>
          </w:p>
        </w:tc>
        <w:tc>
          <w:tcPr>
            <w:tcW w:w="3526" w:type="dxa"/>
          </w:tcPr>
          <w:p w:rsidR="00206084" w:rsidRDefault="008707A0" w:rsidP="008707A0">
            <w:pPr>
              <w:shd w:val="clear" w:color="FFFFFF" w:fill="FFFFFF"/>
              <w:rPr>
                <w:sz w:val="24"/>
                <w:highlight w:val="white"/>
              </w:rPr>
            </w:pPr>
            <w:r>
              <w:rPr>
                <w:sz w:val="24"/>
              </w:rPr>
              <w:t>г. Покров, напротив ТЦ, М-7, 100км + 200м.</w:t>
            </w:r>
          </w:p>
        </w:tc>
        <w:tc>
          <w:tcPr>
            <w:tcW w:w="2409" w:type="dxa"/>
          </w:tcPr>
          <w:p w:rsidR="00206084" w:rsidRDefault="008707A0" w:rsidP="008707A0">
            <w:pPr>
              <w:shd w:val="clear" w:color="FFFFFF" w:fill="FFFFFF"/>
              <w:rPr>
                <w:sz w:val="24"/>
              </w:rPr>
            </w:pPr>
            <w:r>
              <w:rPr>
                <w:sz w:val="24"/>
              </w:rPr>
              <w:t xml:space="preserve">Билборд </w:t>
            </w:r>
          </w:p>
        </w:tc>
        <w:tc>
          <w:tcPr>
            <w:tcW w:w="1555" w:type="dxa"/>
          </w:tcPr>
          <w:p w:rsidR="00206084" w:rsidRDefault="008707A0" w:rsidP="008707A0">
            <w:pPr>
              <w:shd w:val="clear" w:color="FFFFFF" w:fill="FFFFFF"/>
              <w:jc w:val="center"/>
              <w:rPr>
                <w:sz w:val="24"/>
              </w:rPr>
            </w:pPr>
            <w:r>
              <w:rPr>
                <w:sz w:val="24"/>
              </w:rPr>
              <w:t>36,0 кв.м</w:t>
            </w:r>
          </w:p>
        </w:tc>
        <w:tc>
          <w:tcPr>
            <w:tcW w:w="1665" w:type="dxa"/>
          </w:tcPr>
          <w:p w:rsidR="00206084" w:rsidRDefault="008707A0">
            <w:pPr>
              <w:rPr>
                <w:sz w:val="24"/>
              </w:rPr>
            </w:pPr>
            <w:r>
              <w:rPr>
                <w:sz w:val="24"/>
              </w:rPr>
              <w:t>39 600,00</w:t>
            </w:r>
          </w:p>
        </w:tc>
      </w:tr>
      <w:tr w:rsidR="00206084">
        <w:trPr>
          <w:trHeight w:val="559"/>
        </w:trPr>
        <w:tc>
          <w:tcPr>
            <w:tcW w:w="1260" w:type="dxa"/>
            <w:vMerge w:val="restart"/>
          </w:tcPr>
          <w:p w:rsidR="00206084" w:rsidRDefault="008707A0">
            <w:pPr>
              <w:rPr>
                <w:sz w:val="24"/>
              </w:rPr>
            </w:pPr>
            <w:r>
              <w:rPr>
                <w:sz w:val="24"/>
              </w:rPr>
              <w:t>Лот № 2</w:t>
            </w:r>
          </w:p>
        </w:tc>
        <w:tc>
          <w:tcPr>
            <w:tcW w:w="3526" w:type="dxa"/>
            <w:vMerge w:val="restart"/>
          </w:tcPr>
          <w:p w:rsidR="00206084" w:rsidRDefault="008707A0">
            <w:pPr>
              <w:rPr>
                <w:color w:val="000000"/>
                <w:sz w:val="24"/>
              </w:rPr>
            </w:pPr>
            <w:r w:rsidRPr="008707A0">
              <w:rPr>
                <w:rFonts w:eastAsia="Liberation Serif"/>
                <w:color w:val="000000"/>
                <w:sz w:val="24"/>
                <w:highlight w:val="white"/>
              </w:rPr>
              <w:t xml:space="preserve">г. </w:t>
            </w:r>
            <w:r w:rsidRPr="008707A0">
              <w:rPr>
                <w:rFonts w:eastAsia="Liberation Serif"/>
                <w:color w:val="000000"/>
                <w:sz w:val="24"/>
              </w:rPr>
              <w:t>Покров, ул. Лесная, у д. 2а</w:t>
            </w:r>
          </w:p>
        </w:tc>
        <w:tc>
          <w:tcPr>
            <w:tcW w:w="2409" w:type="dxa"/>
            <w:vMerge w:val="restart"/>
          </w:tcPr>
          <w:p w:rsidR="00206084" w:rsidRDefault="008707A0">
            <w:pPr>
              <w:rPr>
                <w:sz w:val="24"/>
              </w:rPr>
            </w:pPr>
            <w:r>
              <w:rPr>
                <w:sz w:val="24"/>
              </w:rPr>
              <w:t xml:space="preserve">Билборд </w:t>
            </w:r>
          </w:p>
        </w:tc>
        <w:tc>
          <w:tcPr>
            <w:tcW w:w="1555" w:type="dxa"/>
            <w:vMerge w:val="restart"/>
          </w:tcPr>
          <w:p w:rsidR="00206084" w:rsidRDefault="008707A0">
            <w:pPr>
              <w:jc w:val="center"/>
              <w:rPr>
                <w:sz w:val="24"/>
              </w:rPr>
            </w:pPr>
            <w:r>
              <w:rPr>
                <w:sz w:val="24"/>
              </w:rPr>
              <w:t>36,0 кв.м</w:t>
            </w:r>
          </w:p>
        </w:tc>
        <w:tc>
          <w:tcPr>
            <w:tcW w:w="1665" w:type="dxa"/>
            <w:vMerge w:val="restart"/>
          </w:tcPr>
          <w:p w:rsidR="00206084" w:rsidRDefault="008707A0">
            <w:pPr>
              <w:jc w:val="center"/>
              <w:rPr>
                <w:sz w:val="24"/>
              </w:rPr>
            </w:pPr>
            <w:r>
              <w:rPr>
                <w:sz w:val="24"/>
              </w:rPr>
              <w:t>39 600,00</w:t>
            </w:r>
          </w:p>
        </w:tc>
      </w:tr>
      <w:tr w:rsidR="00206084">
        <w:trPr>
          <w:trHeight w:val="559"/>
        </w:trPr>
        <w:tc>
          <w:tcPr>
            <w:tcW w:w="1260" w:type="dxa"/>
            <w:vMerge w:val="restart"/>
          </w:tcPr>
          <w:p w:rsidR="00206084" w:rsidRDefault="008707A0">
            <w:pPr>
              <w:rPr>
                <w:sz w:val="24"/>
              </w:rPr>
            </w:pPr>
            <w:r>
              <w:rPr>
                <w:sz w:val="24"/>
              </w:rPr>
              <w:t>Лот № 3</w:t>
            </w:r>
          </w:p>
        </w:tc>
        <w:tc>
          <w:tcPr>
            <w:tcW w:w="3526" w:type="dxa"/>
            <w:vMerge w:val="restart"/>
          </w:tcPr>
          <w:p w:rsidR="00206084" w:rsidRDefault="008707A0">
            <w:pPr>
              <w:rPr>
                <w:color w:val="000000"/>
                <w:sz w:val="24"/>
              </w:rPr>
            </w:pPr>
            <w:r w:rsidRPr="008707A0">
              <w:rPr>
                <w:rFonts w:eastAsia="Liberation Serif"/>
                <w:color w:val="000000"/>
                <w:sz w:val="24"/>
              </w:rPr>
              <w:t>г. Петушки, ул. Маяковского, напротив КНС</w:t>
            </w:r>
          </w:p>
        </w:tc>
        <w:tc>
          <w:tcPr>
            <w:tcW w:w="2409" w:type="dxa"/>
            <w:vMerge w:val="restart"/>
          </w:tcPr>
          <w:p w:rsidR="00206084" w:rsidRDefault="008707A0">
            <w:pPr>
              <w:rPr>
                <w:sz w:val="24"/>
              </w:rPr>
            </w:pPr>
            <w:r>
              <w:rPr>
                <w:sz w:val="24"/>
              </w:rPr>
              <w:t xml:space="preserve">Билборд </w:t>
            </w:r>
          </w:p>
        </w:tc>
        <w:tc>
          <w:tcPr>
            <w:tcW w:w="1555" w:type="dxa"/>
            <w:vMerge w:val="restart"/>
          </w:tcPr>
          <w:p w:rsidR="00206084" w:rsidRDefault="008707A0">
            <w:pPr>
              <w:jc w:val="center"/>
              <w:rPr>
                <w:sz w:val="24"/>
              </w:rPr>
            </w:pPr>
            <w:r>
              <w:rPr>
                <w:sz w:val="24"/>
              </w:rPr>
              <w:t>36,0 кв.м</w:t>
            </w:r>
          </w:p>
        </w:tc>
        <w:tc>
          <w:tcPr>
            <w:tcW w:w="1665" w:type="dxa"/>
            <w:vMerge w:val="restart"/>
          </w:tcPr>
          <w:p w:rsidR="00206084" w:rsidRDefault="008707A0">
            <w:pPr>
              <w:jc w:val="center"/>
              <w:rPr>
                <w:sz w:val="24"/>
              </w:rPr>
            </w:pPr>
            <w:r>
              <w:rPr>
                <w:sz w:val="24"/>
              </w:rPr>
              <w:t>39 600,00</w:t>
            </w:r>
          </w:p>
        </w:tc>
      </w:tr>
      <w:tr w:rsidR="00206084">
        <w:trPr>
          <w:trHeight w:val="559"/>
        </w:trPr>
        <w:tc>
          <w:tcPr>
            <w:tcW w:w="1260" w:type="dxa"/>
            <w:vMerge w:val="restart"/>
          </w:tcPr>
          <w:p w:rsidR="00206084" w:rsidRDefault="008707A0">
            <w:pPr>
              <w:rPr>
                <w:sz w:val="24"/>
              </w:rPr>
            </w:pPr>
            <w:r>
              <w:rPr>
                <w:sz w:val="24"/>
              </w:rPr>
              <w:t>Лот № 4</w:t>
            </w:r>
          </w:p>
        </w:tc>
        <w:tc>
          <w:tcPr>
            <w:tcW w:w="3526" w:type="dxa"/>
            <w:vMerge w:val="restart"/>
          </w:tcPr>
          <w:p w:rsidR="00206084" w:rsidRDefault="008707A0">
            <w:pPr>
              <w:rPr>
                <w:color w:val="000000"/>
                <w:sz w:val="24"/>
              </w:rPr>
            </w:pPr>
            <w:r w:rsidRPr="008707A0">
              <w:rPr>
                <w:rFonts w:eastAsia="Liberation Serif"/>
                <w:color w:val="000000"/>
                <w:sz w:val="24"/>
              </w:rPr>
              <w:t>д. Аннино, ул. Шоссейная, между д. 4 и д. 6, у шиномонтажа</w:t>
            </w:r>
          </w:p>
        </w:tc>
        <w:tc>
          <w:tcPr>
            <w:tcW w:w="2409" w:type="dxa"/>
            <w:vMerge w:val="restart"/>
          </w:tcPr>
          <w:p w:rsidR="00206084" w:rsidRDefault="008707A0">
            <w:pPr>
              <w:rPr>
                <w:sz w:val="24"/>
              </w:rPr>
            </w:pPr>
            <w:r>
              <w:rPr>
                <w:sz w:val="24"/>
              </w:rPr>
              <w:t xml:space="preserve">Билборд </w:t>
            </w:r>
          </w:p>
        </w:tc>
        <w:tc>
          <w:tcPr>
            <w:tcW w:w="1555" w:type="dxa"/>
            <w:vMerge w:val="restart"/>
          </w:tcPr>
          <w:p w:rsidR="00206084" w:rsidRDefault="008707A0">
            <w:pPr>
              <w:jc w:val="center"/>
              <w:rPr>
                <w:sz w:val="24"/>
              </w:rPr>
            </w:pPr>
            <w:r>
              <w:rPr>
                <w:sz w:val="24"/>
              </w:rPr>
              <w:t>36,0 кв.м</w:t>
            </w:r>
          </w:p>
        </w:tc>
        <w:tc>
          <w:tcPr>
            <w:tcW w:w="1665" w:type="dxa"/>
            <w:vMerge w:val="restart"/>
          </w:tcPr>
          <w:p w:rsidR="00206084" w:rsidRDefault="008707A0">
            <w:pPr>
              <w:jc w:val="center"/>
              <w:rPr>
                <w:sz w:val="24"/>
              </w:rPr>
            </w:pPr>
            <w:r>
              <w:rPr>
                <w:sz w:val="24"/>
              </w:rPr>
              <w:t>39 600,00</w:t>
            </w:r>
          </w:p>
        </w:tc>
      </w:tr>
      <w:tr w:rsidR="00206084">
        <w:trPr>
          <w:trHeight w:val="559"/>
        </w:trPr>
        <w:tc>
          <w:tcPr>
            <w:tcW w:w="1260" w:type="dxa"/>
            <w:vMerge w:val="restart"/>
          </w:tcPr>
          <w:p w:rsidR="00206084" w:rsidRDefault="008707A0">
            <w:pPr>
              <w:rPr>
                <w:sz w:val="24"/>
              </w:rPr>
            </w:pPr>
            <w:r>
              <w:rPr>
                <w:sz w:val="24"/>
              </w:rPr>
              <w:t>Лот № 5</w:t>
            </w:r>
          </w:p>
        </w:tc>
        <w:tc>
          <w:tcPr>
            <w:tcW w:w="3526" w:type="dxa"/>
            <w:vMerge w:val="restart"/>
          </w:tcPr>
          <w:p w:rsidR="00206084" w:rsidRDefault="008707A0">
            <w:pPr>
              <w:rPr>
                <w:color w:val="000000"/>
                <w:sz w:val="24"/>
              </w:rPr>
            </w:pPr>
            <w:r w:rsidRPr="008707A0">
              <w:rPr>
                <w:rFonts w:eastAsia="Liberation Serif"/>
                <w:color w:val="000000"/>
                <w:sz w:val="24"/>
              </w:rPr>
              <w:t>ФАД «Волга» М-7, 122 км + 350 м слева (д. Старые Петушки, рядом с АЗС)</w:t>
            </w:r>
          </w:p>
        </w:tc>
        <w:tc>
          <w:tcPr>
            <w:tcW w:w="2409" w:type="dxa"/>
            <w:vMerge w:val="restart"/>
          </w:tcPr>
          <w:p w:rsidR="00206084" w:rsidRDefault="008707A0">
            <w:pPr>
              <w:rPr>
                <w:sz w:val="24"/>
              </w:rPr>
            </w:pPr>
            <w:r>
              <w:rPr>
                <w:sz w:val="24"/>
              </w:rPr>
              <w:t xml:space="preserve">Билборд </w:t>
            </w:r>
          </w:p>
        </w:tc>
        <w:tc>
          <w:tcPr>
            <w:tcW w:w="1555" w:type="dxa"/>
            <w:vMerge w:val="restart"/>
          </w:tcPr>
          <w:p w:rsidR="00206084" w:rsidRDefault="008707A0">
            <w:pPr>
              <w:jc w:val="center"/>
              <w:rPr>
                <w:sz w:val="24"/>
              </w:rPr>
            </w:pPr>
            <w:r>
              <w:rPr>
                <w:sz w:val="24"/>
              </w:rPr>
              <w:t>36,0 кв.м</w:t>
            </w:r>
          </w:p>
        </w:tc>
        <w:tc>
          <w:tcPr>
            <w:tcW w:w="1665" w:type="dxa"/>
            <w:vMerge w:val="restart"/>
          </w:tcPr>
          <w:p w:rsidR="00206084" w:rsidRDefault="008707A0">
            <w:pPr>
              <w:jc w:val="center"/>
              <w:rPr>
                <w:sz w:val="24"/>
              </w:rPr>
            </w:pPr>
            <w:r>
              <w:rPr>
                <w:sz w:val="24"/>
              </w:rPr>
              <w:t>39 600,00</w:t>
            </w:r>
          </w:p>
        </w:tc>
      </w:tr>
      <w:tr w:rsidR="00206084">
        <w:trPr>
          <w:trHeight w:val="559"/>
        </w:trPr>
        <w:tc>
          <w:tcPr>
            <w:tcW w:w="1260" w:type="dxa"/>
            <w:vMerge w:val="restart"/>
          </w:tcPr>
          <w:p w:rsidR="00206084" w:rsidRDefault="008707A0">
            <w:pPr>
              <w:rPr>
                <w:sz w:val="24"/>
              </w:rPr>
            </w:pPr>
            <w:r>
              <w:rPr>
                <w:sz w:val="24"/>
              </w:rPr>
              <w:t>Лот № 6</w:t>
            </w:r>
          </w:p>
        </w:tc>
        <w:tc>
          <w:tcPr>
            <w:tcW w:w="3526" w:type="dxa"/>
            <w:vMerge w:val="restart"/>
          </w:tcPr>
          <w:p w:rsidR="00206084" w:rsidRDefault="008707A0">
            <w:pPr>
              <w:rPr>
                <w:color w:val="000000"/>
                <w:sz w:val="24"/>
              </w:rPr>
            </w:pPr>
            <w:r w:rsidRPr="008707A0">
              <w:rPr>
                <w:rFonts w:eastAsia="Liberation Serif"/>
                <w:color w:val="000000"/>
                <w:sz w:val="24"/>
              </w:rPr>
              <w:t>г. Покров, ул. Ленина, рядом с д. 140</w:t>
            </w:r>
          </w:p>
        </w:tc>
        <w:tc>
          <w:tcPr>
            <w:tcW w:w="2409" w:type="dxa"/>
            <w:vMerge w:val="restart"/>
          </w:tcPr>
          <w:p w:rsidR="00206084" w:rsidRDefault="008707A0">
            <w:pPr>
              <w:rPr>
                <w:sz w:val="24"/>
              </w:rPr>
            </w:pPr>
            <w:r>
              <w:rPr>
                <w:sz w:val="24"/>
              </w:rPr>
              <w:t>Билборд</w:t>
            </w:r>
          </w:p>
        </w:tc>
        <w:tc>
          <w:tcPr>
            <w:tcW w:w="1555" w:type="dxa"/>
            <w:vMerge w:val="restart"/>
          </w:tcPr>
          <w:p w:rsidR="00206084" w:rsidRDefault="008707A0">
            <w:pPr>
              <w:jc w:val="center"/>
            </w:pPr>
            <w:r>
              <w:rPr>
                <w:sz w:val="24"/>
              </w:rPr>
              <w:t>36,0 кв.м</w:t>
            </w:r>
          </w:p>
          <w:p w:rsidR="00206084" w:rsidRDefault="00206084">
            <w:pPr>
              <w:jc w:val="center"/>
              <w:rPr>
                <w:sz w:val="24"/>
              </w:rPr>
            </w:pPr>
          </w:p>
        </w:tc>
        <w:tc>
          <w:tcPr>
            <w:tcW w:w="1665" w:type="dxa"/>
            <w:vMerge w:val="restart"/>
          </w:tcPr>
          <w:p w:rsidR="00206084" w:rsidRDefault="008707A0">
            <w:pPr>
              <w:jc w:val="center"/>
              <w:rPr>
                <w:sz w:val="24"/>
              </w:rPr>
            </w:pPr>
            <w:r>
              <w:rPr>
                <w:sz w:val="24"/>
              </w:rPr>
              <w:t>39 600,00</w:t>
            </w:r>
          </w:p>
        </w:tc>
      </w:tr>
    </w:tbl>
    <w:p w:rsidR="00206084" w:rsidRDefault="00206084">
      <w:pPr>
        <w:pStyle w:val="ConsNormal"/>
        <w:widowControl/>
        <w:ind w:right="0" w:firstLine="0"/>
        <w:jc w:val="both"/>
        <w:rPr>
          <w:rFonts w:ascii="Times New Roman" w:hAnsi="Times New Roman"/>
          <w:sz w:val="24"/>
          <w:szCs w:val="24"/>
        </w:rPr>
      </w:pPr>
    </w:p>
    <w:p w:rsidR="00206084" w:rsidRDefault="008707A0">
      <w:pPr>
        <w:spacing w:after="240"/>
        <w:ind w:firstLine="601"/>
        <w:jc w:val="both"/>
        <w:rPr>
          <w:b/>
          <w:sz w:val="24"/>
        </w:rPr>
      </w:pPr>
      <w:r>
        <w:rPr>
          <w:b/>
          <w:sz w:val="24"/>
        </w:rPr>
        <w:t>Аукцион проводится 29 января 2024 года в 11 часов 00 минут по московскому времени по адресу: г. Петушки, Советская площадь, д. 5, каб. № 8.</w:t>
      </w:r>
    </w:p>
    <w:p w:rsidR="00206084" w:rsidRDefault="008707A0">
      <w:pPr>
        <w:spacing w:after="240"/>
        <w:ind w:firstLine="601"/>
        <w:jc w:val="both"/>
        <w:rPr>
          <w:sz w:val="24"/>
        </w:rPr>
      </w:pPr>
      <w:r>
        <w:rPr>
          <w:sz w:val="24"/>
        </w:rPr>
        <w:t>Регистрация участников: с 10 час. 30 мин. до 11 час. 00 мин.</w:t>
      </w:r>
    </w:p>
    <w:p w:rsidR="00206084" w:rsidRDefault="008707A0">
      <w:pPr>
        <w:spacing w:after="240"/>
        <w:ind w:firstLine="601"/>
        <w:jc w:val="both"/>
      </w:pPr>
      <w:r>
        <w:rPr>
          <w:sz w:val="24"/>
        </w:rPr>
        <w:t>Шаг аукциона равен 5 процентам начальной цены 1 кв.м. рекламного поля.</w:t>
      </w:r>
    </w:p>
    <w:p w:rsidR="00206084" w:rsidRDefault="008707A0">
      <w:pPr>
        <w:spacing w:after="240"/>
        <w:ind w:firstLine="601"/>
        <w:jc w:val="both"/>
        <w:rPr>
          <w:sz w:val="24"/>
          <w:highlight w:val="white"/>
        </w:rPr>
      </w:pPr>
      <w:r>
        <w:rPr>
          <w:sz w:val="24"/>
        </w:rPr>
        <w:t>Дата начала приема заявок на участие в аукционе – 29</w:t>
      </w:r>
      <w:r w:rsidR="00C80C4C">
        <w:rPr>
          <w:sz w:val="24"/>
          <w:highlight w:val="white"/>
        </w:rPr>
        <w:t xml:space="preserve"> декабря </w:t>
      </w:r>
      <w:r>
        <w:rPr>
          <w:sz w:val="24"/>
          <w:highlight w:val="white"/>
        </w:rPr>
        <w:t>2023 года с 8 часов 00 минут по московскому времени.</w:t>
      </w:r>
    </w:p>
    <w:p w:rsidR="00206084" w:rsidRDefault="008707A0">
      <w:pPr>
        <w:spacing w:after="240"/>
        <w:ind w:firstLine="601"/>
        <w:jc w:val="both"/>
        <w:rPr>
          <w:sz w:val="24"/>
          <w:highlight w:val="white"/>
        </w:rPr>
      </w:pPr>
      <w:r>
        <w:rPr>
          <w:sz w:val="24"/>
        </w:rPr>
        <w:t>Дата окончания приема заявок на участие в аукционе – 2</w:t>
      </w:r>
      <w:r w:rsidR="00F943F0">
        <w:rPr>
          <w:sz w:val="24"/>
        </w:rPr>
        <w:t>6</w:t>
      </w:r>
      <w:r>
        <w:rPr>
          <w:sz w:val="24"/>
        </w:rPr>
        <w:t xml:space="preserve"> января </w:t>
      </w:r>
      <w:r>
        <w:rPr>
          <w:sz w:val="24"/>
          <w:highlight w:val="white"/>
        </w:rPr>
        <w:t xml:space="preserve">2024 года до </w:t>
      </w:r>
      <w:r w:rsidR="00F943F0">
        <w:rPr>
          <w:sz w:val="24"/>
          <w:highlight w:val="white"/>
        </w:rPr>
        <w:t xml:space="preserve">17 </w:t>
      </w:r>
      <w:bookmarkStart w:id="0" w:name="_GoBack"/>
      <w:bookmarkEnd w:id="0"/>
      <w:r>
        <w:rPr>
          <w:sz w:val="24"/>
          <w:highlight w:val="white"/>
        </w:rPr>
        <w:t>часов 00 минут по московскому времени.</w:t>
      </w:r>
    </w:p>
    <w:p w:rsidR="00206084" w:rsidRDefault="008707A0">
      <w:pPr>
        <w:spacing w:after="240"/>
        <w:ind w:firstLine="601"/>
        <w:jc w:val="both"/>
        <w:rPr>
          <w:sz w:val="24"/>
        </w:rPr>
      </w:pPr>
      <w:r>
        <w:rPr>
          <w:sz w:val="24"/>
        </w:rPr>
        <w:t>Время и место приема заявок – рабочие дни с 08 час. 00 мин. до 17 час. 00 мин. по московскому времени по адресу: г. Петушки, Советская площадь, д. 5, кабинет № 8, тел.: 8(49243)2-21-70.</w:t>
      </w:r>
    </w:p>
    <w:p w:rsidR="00206084" w:rsidRDefault="008707A0">
      <w:pPr>
        <w:spacing w:after="240"/>
        <w:ind w:firstLine="567"/>
        <w:jc w:val="both"/>
        <w:rPr>
          <w:sz w:val="24"/>
        </w:rPr>
      </w:pPr>
      <w:r>
        <w:rPr>
          <w:sz w:val="24"/>
        </w:rPr>
        <w:t>Претендент должен представить письменную заявку на участие в аукционе по установленной организатором аукциона форме не позднее даты, указанной в извещении о проведении аукциона.</w:t>
      </w:r>
    </w:p>
    <w:p w:rsidR="00206084" w:rsidRDefault="008707A0">
      <w:pPr>
        <w:spacing w:after="240"/>
        <w:ind w:firstLine="567"/>
        <w:jc w:val="both"/>
        <w:rPr>
          <w:sz w:val="24"/>
        </w:rPr>
      </w:pPr>
      <w:r>
        <w:rPr>
          <w:sz w:val="24"/>
        </w:rPr>
        <w:t>Заявки, поступившие до начала или после истечения срока приема, указанного в извещении, возвращаются претендентам или их полномочным представителям.</w:t>
      </w:r>
    </w:p>
    <w:p w:rsidR="00206084" w:rsidRDefault="008707A0">
      <w:pPr>
        <w:tabs>
          <w:tab w:val="left" w:pos="960"/>
        </w:tabs>
        <w:spacing w:after="240"/>
        <w:ind w:firstLine="567"/>
        <w:jc w:val="both"/>
        <w:rPr>
          <w:sz w:val="24"/>
        </w:rPr>
      </w:pPr>
      <w:r>
        <w:rPr>
          <w:sz w:val="24"/>
        </w:rPr>
        <w:lastRenderedPageBreak/>
        <w:t>Претендент имеет право отозвать поданную заявку до истечения срока подачи заявок, в письменной форме, уведомив об этом организатора торгов.</w:t>
      </w:r>
    </w:p>
    <w:p w:rsidR="00206084" w:rsidRDefault="008707A0">
      <w:pPr>
        <w:tabs>
          <w:tab w:val="left" w:pos="960"/>
        </w:tabs>
        <w:ind w:firstLine="567"/>
        <w:jc w:val="both"/>
        <w:rPr>
          <w:b/>
          <w:sz w:val="24"/>
          <w:u w:val="single"/>
        </w:rPr>
      </w:pPr>
      <w:r>
        <w:rPr>
          <w:b/>
          <w:sz w:val="24"/>
          <w:u w:val="single"/>
        </w:rPr>
        <w:t>Форма подачи заявок на участие в аукционе.</w:t>
      </w:r>
    </w:p>
    <w:p w:rsidR="00206084" w:rsidRDefault="008707A0">
      <w:pPr>
        <w:tabs>
          <w:tab w:val="left" w:pos="960"/>
        </w:tabs>
        <w:spacing w:after="240"/>
        <w:ind w:firstLine="567"/>
        <w:jc w:val="both"/>
        <w:rPr>
          <w:sz w:val="24"/>
        </w:rPr>
      </w:pPr>
      <w:r>
        <w:rPr>
          <w:sz w:val="24"/>
        </w:rPr>
        <w:t>Приложение 1.</w:t>
      </w:r>
    </w:p>
    <w:p w:rsidR="00206084" w:rsidRDefault="008707A0">
      <w:pPr>
        <w:pStyle w:val="ConsNormal"/>
        <w:widowControl/>
        <w:tabs>
          <w:tab w:val="left" w:pos="612"/>
        </w:tabs>
        <w:spacing w:after="240"/>
        <w:ind w:right="0" w:firstLine="567"/>
        <w:jc w:val="both"/>
        <w:rPr>
          <w:rFonts w:ascii="Times New Roman" w:hAnsi="Times New Roman"/>
          <w:b/>
          <w:sz w:val="24"/>
          <w:szCs w:val="24"/>
          <w:u w:val="single"/>
        </w:rPr>
      </w:pPr>
      <w:r>
        <w:rPr>
          <w:rFonts w:ascii="Times New Roman" w:hAnsi="Times New Roman"/>
          <w:b/>
          <w:sz w:val="24"/>
          <w:szCs w:val="24"/>
          <w:u w:val="single"/>
        </w:rPr>
        <w:t>К заявке по установленной форме прилагаются следующие документы:</w:t>
      </w:r>
    </w:p>
    <w:p w:rsidR="00206084" w:rsidRDefault="008707A0">
      <w:pPr>
        <w:pStyle w:val="ConsNormal"/>
        <w:widowControl/>
        <w:tabs>
          <w:tab w:val="left" w:pos="264"/>
          <w:tab w:val="left" w:pos="612"/>
        </w:tabs>
        <w:ind w:right="0" w:firstLine="567"/>
        <w:jc w:val="both"/>
        <w:rPr>
          <w:rFonts w:ascii="Times New Roman" w:hAnsi="Times New Roman"/>
          <w:sz w:val="24"/>
          <w:szCs w:val="24"/>
          <w:u w:val="single"/>
        </w:rPr>
      </w:pPr>
      <w:r>
        <w:rPr>
          <w:rFonts w:ascii="Times New Roman" w:hAnsi="Times New Roman"/>
          <w:sz w:val="24"/>
          <w:szCs w:val="24"/>
          <w:u w:val="single"/>
        </w:rPr>
        <w:t>Для юридического лица:</w:t>
      </w:r>
    </w:p>
    <w:p w:rsidR="00206084" w:rsidRDefault="008707A0">
      <w:pPr>
        <w:pStyle w:val="ConsNormal"/>
        <w:widowControl/>
        <w:numPr>
          <w:ilvl w:val="0"/>
          <w:numId w:val="1"/>
        </w:numPr>
        <w:tabs>
          <w:tab w:val="left" w:pos="264"/>
        </w:tabs>
        <w:ind w:left="0" w:right="0" w:firstLine="851"/>
        <w:jc w:val="both"/>
        <w:rPr>
          <w:rFonts w:ascii="Times New Roman" w:hAnsi="Times New Roman"/>
          <w:sz w:val="24"/>
          <w:szCs w:val="24"/>
        </w:rPr>
      </w:pPr>
      <w:r>
        <w:rPr>
          <w:rFonts w:ascii="Times New Roman" w:hAnsi="Times New Roman"/>
          <w:sz w:val="24"/>
          <w:szCs w:val="24"/>
        </w:rPr>
        <w:t>сведения и документы о претенденте аукциона;</w:t>
      </w:r>
    </w:p>
    <w:p w:rsidR="00206084" w:rsidRDefault="008707A0">
      <w:pPr>
        <w:pStyle w:val="ConsNormal"/>
        <w:widowControl/>
        <w:numPr>
          <w:ilvl w:val="0"/>
          <w:numId w:val="1"/>
        </w:numPr>
        <w:tabs>
          <w:tab w:val="left" w:pos="324"/>
        </w:tabs>
        <w:ind w:left="0" w:right="0" w:firstLine="851"/>
        <w:jc w:val="both"/>
        <w:rPr>
          <w:rFonts w:ascii="Times New Roman" w:hAnsi="Times New Roman"/>
          <w:sz w:val="24"/>
          <w:szCs w:val="24"/>
        </w:rPr>
      </w:pPr>
      <w:r>
        <w:rPr>
          <w:rFonts w:ascii="Times New Roman" w:hAnsi="Times New Roman"/>
          <w:sz w:val="24"/>
          <w:szCs w:val="24"/>
        </w:rPr>
        <w:t>сведения об организационно-правовой форме;</w:t>
      </w:r>
    </w:p>
    <w:p w:rsidR="00206084" w:rsidRDefault="008707A0">
      <w:pPr>
        <w:pStyle w:val="ConsNormal"/>
        <w:widowControl/>
        <w:numPr>
          <w:ilvl w:val="0"/>
          <w:numId w:val="1"/>
        </w:numPr>
        <w:tabs>
          <w:tab w:val="left" w:pos="720"/>
        </w:tabs>
        <w:ind w:left="0" w:right="0" w:firstLine="851"/>
        <w:jc w:val="both"/>
        <w:rPr>
          <w:rFonts w:ascii="Times New Roman" w:hAnsi="Times New Roman"/>
          <w:sz w:val="24"/>
          <w:szCs w:val="24"/>
        </w:rPr>
      </w:pPr>
      <w:r>
        <w:rPr>
          <w:rFonts w:ascii="Times New Roman" w:hAnsi="Times New Roman"/>
          <w:sz w:val="24"/>
          <w:szCs w:val="24"/>
        </w:rPr>
        <w:t>сведения о месте нахождения, почтовый адрес;</w:t>
      </w:r>
    </w:p>
    <w:p w:rsidR="00206084" w:rsidRDefault="008707A0">
      <w:pPr>
        <w:pStyle w:val="ConsNormal"/>
        <w:widowControl/>
        <w:numPr>
          <w:ilvl w:val="0"/>
          <w:numId w:val="1"/>
        </w:numPr>
        <w:tabs>
          <w:tab w:val="left" w:pos="720"/>
        </w:tabs>
        <w:ind w:left="0" w:right="0" w:firstLine="851"/>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 полученная не ранее чем за шесть месяцев до дня проведения конкурса или нотариально заверенная копия такой выписки;</w:t>
      </w:r>
    </w:p>
    <w:p w:rsidR="00206084" w:rsidRDefault="008707A0">
      <w:pPr>
        <w:pStyle w:val="ConsNormal"/>
        <w:widowControl/>
        <w:numPr>
          <w:ilvl w:val="0"/>
          <w:numId w:val="1"/>
        </w:numPr>
        <w:tabs>
          <w:tab w:val="left" w:pos="720"/>
        </w:tabs>
        <w:spacing w:after="240"/>
        <w:ind w:left="0" w:right="0" w:firstLine="851"/>
        <w:jc w:val="both"/>
        <w:rPr>
          <w:rFonts w:ascii="Times New Roman" w:hAnsi="Times New Roman"/>
          <w:sz w:val="24"/>
          <w:szCs w:val="24"/>
        </w:rPr>
      </w:pPr>
      <w:r>
        <w:rPr>
          <w:rFonts w:ascii="Times New Roman" w:hAnsi="Times New Roman"/>
          <w:sz w:val="24"/>
          <w:szCs w:val="24"/>
        </w:rPr>
        <w:t>документ, подтверждающий полномочия лица на осуществление действий от имени претендента.</w:t>
      </w:r>
    </w:p>
    <w:p w:rsidR="00206084" w:rsidRDefault="008707A0">
      <w:pPr>
        <w:pStyle w:val="ConsNormal"/>
        <w:widowControl/>
        <w:tabs>
          <w:tab w:val="left" w:pos="648"/>
        </w:tabs>
        <w:ind w:right="0" w:firstLine="567"/>
        <w:jc w:val="both"/>
        <w:rPr>
          <w:rFonts w:ascii="Times New Roman" w:hAnsi="Times New Roman"/>
          <w:sz w:val="24"/>
          <w:szCs w:val="24"/>
          <w:u w:val="single"/>
        </w:rPr>
      </w:pPr>
      <w:r>
        <w:rPr>
          <w:rFonts w:ascii="Times New Roman" w:hAnsi="Times New Roman"/>
          <w:sz w:val="24"/>
          <w:szCs w:val="24"/>
          <w:u w:val="single"/>
        </w:rPr>
        <w:t>Для физического лица:</w:t>
      </w:r>
    </w:p>
    <w:p w:rsidR="00206084" w:rsidRDefault="008707A0">
      <w:pPr>
        <w:pStyle w:val="ConsNormal"/>
        <w:widowControl/>
        <w:numPr>
          <w:ilvl w:val="0"/>
          <w:numId w:val="2"/>
        </w:numPr>
        <w:tabs>
          <w:tab w:val="clear" w:pos="1620"/>
          <w:tab w:val="left" w:pos="720"/>
        </w:tabs>
        <w:ind w:left="0" w:right="0" w:firstLine="851"/>
        <w:jc w:val="both"/>
        <w:rPr>
          <w:rFonts w:ascii="Times New Roman" w:hAnsi="Times New Roman"/>
          <w:sz w:val="24"/>
          <w:szCs w:val="24"/>
        </w:rPr>
      </w:pPr>
      <w:r>
        <w:rPr>
          <w:rFonts w:ascii="Times New Roman" w:hAnsi="Times New Roman"/>
          <w:sz w:val="24"/>
          <w:szCs w:val="24"/>
        </w:rPr>
        <w:t>фамилия, имя, отчество;</w:t>
      </w:r>
    </w:p>
    <w:p w:rsidR="00206084" w:rsidRDefault="008707A0">
      <w:pPr>
        <w:pStyle w:val="ConsNormal"/>
        <w:widowControl/>
        <w:numPr>
          <w:ilvl w:val="0"/>
          <w:numId w:val="2"/>
        </w:numPr>
        <w:tabs>
          <w:tab w:val="clear" w:pos="1620"/>
          <w:tab w:val="left" w:pos="720"/>
        </w:tabs>
        <w:ind w:left="0" w:right="0" w:firstLine="851"/>
        <w:jc w:val="both"/>
        <w:rPr>
          <w:rFonts w:ascii="Times New Roman" w:hAnsi="Times New Roman"/>
          <w:sz w:val="24"/>
          <w:szCs w:val="24"/>
        </w:rPr>
      </w:pPr>
      <w:r>
        <w:rPr>
          <w:rFonts w:ascii="Times New Roman" w:hAnsi="Times New Roman"/>
          <w:sz w:val="24"/>
          <w:szCs w:val="24"/>
        </w:rPr>
        <w:t>паспортные данные;</w:t>
      </w:r>
    </w:p>
    <w:p w:rsidR="00206084" w:rsidRDefault="008707A0">
      <w:pPr>
        <w:pStyle w:val="ConsNormal"/>
        <w:widowControl/>
        <w:numPr>
          <w:ilvl w:val="0"/>
          <w:numId w:val="2"/>
        </w:numPr>
        <w:tabs>
          <w:tab w:val="clear" w:pos="1620"/>
          <w:tab w:val="left" w:pos="720"/>
        </w:tabs>
        <w:ind w:left="0" w:right="0" w:firstLine="851"/>
        <w:jc w:val="both"/>
        <w:rPr>
          <w:rFonts w:ascii="Times New Roman" w:hAnsi="Times New Roman"/>
          <w:sz w:val="24"/>
          <w:szCs w:val="24"/>
        </w:rPr>
      </w:pPr>
      <w:r>
        <w:rPr>
          <w:rFonts w:ascii="Times New Roman" w:hAnsi="Times New Roman"/>
          <w:sz w:val="24"/>
          <w:szCs w:val="24"/>
        </w:rPr>
        <w:t>сведения о месте жительства, телефон;</w:t>
      </w:r>
    </w:p>
    <w:p w:rsidR="00206084" w:rsidRDefault="008707A0">
      <w:pPr>
        <w:pStyle w:val="ConsNormal"/>
        <w:widowControl/>
        <w:numPr>
          <w:ilvl w:val="0"/>
          <w:numId w:val="2"/>
        </w:numPr>
        <w:tabs>
          <w:tab w:val="clear" w:pos="1620"/>
          <w:tab w:val="left" w:pos="720"/>
        </w:tabs>
        <w:spacing w:after="240"/>
        <w:ind w:left="0" w:right="0" w:firstLine="851"/>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 полученная не ранее чем за шесть месяцев до дня проведения аукциона или нотариально заверенная копия такой выписки.</w:t>
      </w:r>
    </w:p>
    <w:p w:rsidR="00206084" w:rsidRDefault="008707A0">
      <w:pPr>
        <w:pStyle w:val="ConsNormal"/>
        <w:widowControl/>
        <w:tabs>
          <w:tab w:val="left" w:pos="768"/>
        </w:tabs>
        <w:spacing w:after="240"/>
        <w:ind w:right="0" w:firstLine="567"/>
        <w:jc w:val="both"/>
        <w:rPr>
          <w:rFonts w:ascii="Times New Roman" w:hAnsi="Times New Roman"/>
          <w:sz w:val="24"/>
          <w:szCs w:val="24"/>
        </w:rPr>
      </w:pPr>
      <w:r>
        <w:rPr>
          <w:rFonts w:ascii="Times New Roman" w:hAnsi="Times New Roman"/>
          <w:sz w:val="24"/>
          <w:szCs w:val="24"/>
        </w:rPr>
        <w:t>Документы, содержащие помарки, подчистки, исправления и т.п., не принимаются.</w:t>
      </w:r>
    </w:p>
    <w:p w:rsidR="00206084" w:rsidRDefault="008707A0">
      <w:pPr>
        <w:spacing w:after="240"/>
        <w:ind w:firstLine="567"/>
        <w:jc w:val="both"/>
        <w:rPr>
          <w:b/>
          <w:sz w:val="24"/>
          <w:u w:val="single"/>
        </w:rPr>
      </w:pPr>
      <w:r>
        <w:rPr>
          <w:b/>
          <w:sz w:val="24"/>
          <w:u w:val="single"/>
        </w:rPr>
        <w:t>Условия проведения аукциона.</w:t>
      </w:r>
    </w:p>
    <w:p w:rsidR="00206084" w:rsidRDefault="008707A0">
      <w:pPr>
        <w:spacing w:before="120" w:after="120"/>
        <w:ind w:firstLine="709"/>
        <w:jc w:val="both"/>
        <w:rPr>
          <w:spacing w:val="-9"/>
          <w:sz w:val="24"/>
        </w:rPr>
      </w:pPr>
      <w:r>
        <w:rPr>
          <w:spacing w:val="-9"/>
          <w:sz w:val="24"/>
        </w:rPr>
        <w:t>Торги ведет аукционист, назначаемый организатором торгов.</w:t>
      </w:r>
    </w:p>
    <w:p w:rsidR="00206084" w:rsidRDefault="008707A0">
      <w:pPr>
        <w:spacing w:before="120" w:after="120"/>
        <w:ind w:firstLine="709"/>
        <w:jc w:val="both"/>
        <w:rPr>
          <w:spacing w:val="-9"/>
          <w:sz w:val="24"/>
        </w:rPr>
      </w:pPr>
      <w:r>
        <w:rPr>
          <w:spacing w:val="-9"/>
          <w:sz w:val="24"/>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06084" w:rsidRDefault="008707A0">
      <w:pPr>
        <w:spacing w:before="120" w:after="120"/>
        <w:ind w:firstLine="709"/>
        <w:jc w:val="both"/>
        <w:rPr>
          <w:spacing w:val="-9"/>
          <w:sz w:val="24"/>
        </w:rPr>
      </w:pPr>
      <w:r>
        <w:rPr>
          <w:spacing w:val="-9"/>
          <w:sz w:val="24"/>
        </w:rPr>
        <w:t>Аукцион начинается с объявления аукционистом открытия аукциона.</w:t>
      </w:r>
    </w:p>
    <w:p w:rsidR="00206084" w:rsidRDefault="008707A0">
      <w:pPr>
        <w:spacing w:before="120" w:after="120"/>
        <w:ind w:firstLine="709"/>
        <w:jc w:val="both"/>
        <w:rPr>
          <w:spacing w:val="-9"/>
          <w:sz w:val="24"/>
        </w:rPr>
      </w:pPr>
      <w:r>
        <w:rPr>
          <w:spacing w:val="-9"/>
          <w:sz w:val="24"/>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206084" w:rsidRDefault="008707A0">
      <w:pPr>
        <w:spacing w:before="120" w:after="120"/>
        <w:ind w:firstLine="709"/>
        <w:jc w:val="both"/>
        <w:rPr>
          <w:spacing w:val="-9"/>
          <w:sz w:val="24"/>
        </w:rPr>
      </w:pPr>
      <w:r>
        <w:rPr>
          <w:spacing w:val="-9"/>
          <w:sz w:val="24"/>
        </w:rPr>
        <w:t>После оглашения начальной цены договора участникам аукциона предлагается заявить эту цену путем поднятия карточки. Если после троекратного объявления начальной цены договора ни один из участников аукциона не поднял карточку, аукцион признается несостоявшимся.</w:t>
      </w:r>
    </w:p>
    <w:p w:rsidR="00206084" w:rsidRDefault="008707A0">
      <w:pPr>
        <w:spacing w:before="120" w:after="120"/>
        <w:ind w:firstLine="709"/>
        <w:jc w:val="both"/>
        <w:rPr>
          <w:spacing w:val="-9"/>
          <w:sz w:val="24"/>
        </w:rPr>
      </w:pPr>
      <w:r>
        <w:rPr>
          <w:spacing w:val="-9"/>
          <w:sz w:val="24"/>
        </w:rPr>
        <w:t>После заявления участниками аукциона начальной цены аукционист предлагает заявлять свои предложения по цене договора, превышающей начальную цену путем поднятия карточки. Каждое последующее поднятие карточки участниками означает согласие заключить договор по цене, превышающей последнюю названную цену на шаг аукциона.</w:t>
      </w:r>
    </w:p>
    <w:p w:rsidR="00206084" w:rsidRDefault="008707A0">
      <w:pPr>
        <w:spacing w:before="120" w:after="120"/>
        <w:ind w:firstLine="709"/>
        <w:jc w:val="both"/>
        <w:rPr>
          <w:spacing w:val="-9"/>
          <w:sz w:val="24"/>
        </w:rPr>
      </w:pPr>
      <w:r>
        <w:rPr>
          <w:spacing w:val="-9"/>
          <w:sz w:val="24"/>
        </w:rPr>
        <w:t>Аукционист называет номер карточки,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06084" w:rsidRDefault="008707A0">
      <w:pPr>
        <w:spacing w:before="120" w:after="120"/>
        <w:ind w:firstLine="709"/>
        <w:jc w:val="both"/>
        <w:rPr>
          <w:spacing w:val="-9"/>
          <w:sz w:val="24"/>
        </w:rPr>
      </w:pPr>
      <w:r>
        <w:rPr>
          <w:spacing w:val="-9"/>
          <w:sz w:val="24"/>
        </w:rPr>
        <w:lastRenderedPageBreak/>
        <w:t>По завершении аукциона объявляется о продаже права на заключение договора на установку и эксплуатацию рекламной конструкции,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206084" w:rsidRDefault="008707A0">
      <w:pPr>
        <w:pStyle w:val="ConsNormal"/>
        <w:widowControl/>
        <w:spacing w:after="240"/>
        <w:ind w:right="0" w:firstLine="567"/>
        <w:jc w:val="both"/>
        <w:rPr>
          <w:rFonts w:ascii="Times New Roman" w:hAnsi="Times New Roman"/>
          <w:sz w:val="24"/>
          <w:szCs w:val="24"/>
        </w:rPr>
      </w:pPr>
      <w:r>
        <w:rPr>
          <w:rFonts w:ascii="Times New Roman" w:hAnsi="Times New Roman"/>
          <w:spacing w:val="-9"/>
          <w:sz w:val="24"/>
          <w:szCs w:val="24"/>
        </w:rPr>
        <w:t>Годовой размер платы за установку и эксплуатацию рекламной конструкции, предложенный лицом, выигравшим аукцион, заносится в протокол аукциона.</w:t>
      </w:r>
    </w:p>
    <w:p w:rsidR="00206084" w:rsidRDefault="008707A0">
      <w:pPr>
        <w:pStyle w:val="ConsNormal"/>
        <w:widowControl/>
        <w:spacing w:after="240"/>
        <w:ind w:right="0" w:firstLine="567"/>
        <w:jc w:val="both"/>
        <w:rPr>
          <w:rFonts w:ascii="Times New Roman" w:hAnsi="Times New Roman"/>
          <w:b/>
          <w:sz w:val="24"/>
          <w:szCs w:val="24"/>
          <w:u w:val="single"/>
        </w:rPr>
      </w:pPr>
      <w:r>
        <w:rPr>
          <w:rFonts w:ascii="Times New Roman" w:hAnsi="Times New Roman"/>
          <w:b/>
          <w:sz w:val="24"/>
          <w:szCs w:val="24"/>
          <w:u w:val="single"/>
        </w:rPr>
        <w:t>Условия договора.</w:t>
      </w:r>
    </w:p>
    <w:p w:rsidR="00206084" w:rsidRDefault="008707A0">
      <w:pPr>
        <w:pStyle w:val="ConsNormal"/>
        <w:widowControl/>
        <w:spacing w:after="240"/>
        <w:ind w:right="0" w:firstLine="567"/>
        <w:jc w:val="both"/>
        <w:rPr>
          <w:rFonts w:ascii="Times New Roman" w:hAnsi="Times New Roman"/>
          <w:sz w:val="24"/>
          <w:szCs w:val="24"/>
        </w:rPr>
      </w:pPr>
      <w:r>
        <w:rPr>
          <w:rFonts w:ascii="Times New Roman" w:hAnsi="Times New Roman"/>
          <w:sz w:val="24"/>
          <w:szCs w:val="24"/>
        </w:rPr>
        <w:t>Договор на установку и эксплуатацию рекламной конструкции заключается сроком на пять лет.</w:t>
      </w:r>
    </w:p>
    <w:p w:rsidR="00206084" w:rsidRDefault="008707A0">
      <w:pPr>
        <w:pStyle w:val="ConsPlusNormal"/>
        <w:spacing w:after="240"/>
        <w:ind w:firstLine="567"/>
        <w:jc w:val="both"/>
        <w:rPr>
          <w:rFonts w:ascii="Times New Roman" w:hAnsi="Times New Roman"/>
          <w:sz w:val="24"/>
          <w:szCs w:val="24"/>
        </w:rPr>
      </w:pPr>
      <w:r>
        <w:rPr>
          <w:rFonts w:ascii="Times New Roman" w:hAnsi="Times New Roman"/>
          <w:sz w:val="24"/>
          <w:szCs w:val="24"/>
        </w:rPr>
        <w:t xml:space="preserve">Годовой размер оплаты за право установки и эксплуатации рекламной конструкции на первый год устанавливается на основании результатов проведенных торгов. За первые двенадцать месяцев оплата за право установки и эксплуатации рекламной конструкции вносится Рекламораспространителем  единовременным авансовым платежом в течение десяти дней с даты заключения настоящего договора на расчетный счет, указанный в договоре. На второй и последующие годы плата определяется в соответствии с постановлением администрации Петушинского района от 06.05.2014 № 881 «Об утверждении Порядка проведения торгов (конкурсов, аукционов) на право заключения договора на установку и эксплуатацию рекламной конструкции на территории Петушинского района» и вносится ежеквартально равными долями в полном объеме до 15 числа месяца, следующего за отчетным кварталом. </w:t>
      </w:r>
    </w:p>
    <w:p w:rsidR="00206084" w:rsidRDefault="008707A0">
      <w:pPr>
        <w:pStyle w:val="ConsPlusNormal"/>
        <w:widowControl/>
        <w:spacing w:after="240"/>
        <w:ind w:firstLine="567"/>
        <w:jc w:val="both"/>
        <w:rPr>
          <w:rFonts w:ascii="Times New Roman" w:hAnsi="Times New Roman"/>
          <w:sz w:val="24"/>
          <w:szCs w:val="24"/>
        </w:rPr>
      </w:pPr>
      <w:r>
        <w:rPr>
          <w:rFonts w:ascii="Times New Roman" w:hAnsi="Times New Roman"/>
          <w:sz w:val="24"/>
          <w:szCs w:val="24"/>
        </w:rPr>
        <w:t>Обязательным условием договора является то, что Рекламораспространитель по требованию Комитета по управлению имуществом Петушинского района обязан размещать на рекламной конструкции муниципальную информацию, социальную рекламу, рекламу внутрирайонных и прочих мероприятий в течение 20 (двадцати) календарных дней в течение года, при этом администрация направляет заявку на размещение социальной рекламы не позднее, чем за 15 дней до даты её предполагаемого размещения.</w:t>
      </w:r>
    </w:p>
    <w:p w:rsidR="00206084" w:rsidRDefault="008707A0">
      <w:pPr>
        <w:pStyle w:val="ConsPlusNormal"/>
        <w:widowControl/>
        <w:ind w:firstLine="567"/>
        <w:jc w:val="both"/>
        <w:rPr>
          <w:rFonts w:ascii="Times New Roman" w:hAnsi="Times New Roman"/>
          <w:b/>
          <w:sz w:val="24"/>
          <w:szCs w:val="24"/>
          <w:u w:val="single"/>
        </w:rPr>
      </w:pPr>
      <w:r>
        <w:rPr>
          <w:rFonts w:ascii="Times New Roman" w:hAnsi="Times New Roman"/>
          <w:b/>
          <w:sz w:val="24"/>
          <w:szCs w:val="24"/>
          <w:u w:val="single"/>
        </w:rPr>
        <w:t>Проект договора.</w:t>
      </w:r>
    </w:p>
    <w:p w:rsidR="00206084" w:rsidRDefault="008707A0">
      <w:pPr>
        <w:pStyle w:val="ConsPlusNormal"/>
        <w:widowControl/>
        <w:spacing w:after="240"/>
        <w:ind w:firstLine="567"/>
        <w:jc w:val="both"/>
        <w:rPr>
          <w:rFonts w:ascii="Times New Roman" w:hAnsi="Times New Roman"/>
          <w:sz w:val="24"/>
          <w:szCs w:val="24"/>
        </w:rPr>
      </w:pPr>
      <w:r>
        <w:rPr>
          <w:rFonts w:ascii="Times New Roman" w:hAnsi="Times New Roman"/>
          <w:sz w:val="24"/>
          <w:szCs w:val="24"/>
        </w:rPr>
        <w:t>Приложение 2.</w:t>
      </w:r>
    </w:p>
    <w:p w:rsidR="00206084" w:rsidRDefault="008707A0">
      <w:pPr>
        <w:tabs>
          <w:tab w:val="left" w:pos="7380"/>
        </w:tabs>
        <w:spacing w:after="240"/>
        <w:ind w:firstLine="567"/>
        <w:jc w:val="both"/>
        <w:rPr>
          <w:sz w:val="24"/>
        </w:rPr>
      </w:pPr>
      <w:r>
        <w:rPr>
          <w:sz w:val="24"/>
        </w:rPr>
        <w:t>Информацию о проведении аукциона можно получить в администрации Петушинского района по адресу: г. Петушки, Советская площадь, д. 5, кабинет № 8, тел.: 8 (49243) 2-21-70 – Халанская Елизавета Максимовна.</w:t>
      </w:r>
    </w:p>
    <w:sectPr w:rsidR="0020608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7E" w:rsidRDefault="0028237E">
      <w:r>
        <w:separator/>
      </w:r>
    </w:p>
  </w:endnote>
  <w:endnote w:type="continuationSeparator" w:id="0">
    <w:p w:rsidR="0028237E" w:rsidRDefault="0028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auto"/>
    <w:pitch w:val="default"/>
  </w:font>
  <w:font w:name="Liberation Serif">
    <w:panose1 w:val="02020603050405020304"/>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7E" w:rsidRDefault="0028237E">
      <w:r>
        <w:separator/>
      </w:r>
    </w:p>
  </w:footnote>
  <w:footnote w:type="continuationSeparator" w:id="0">
    <w:p w:rsidR="0028237E" w:rsidRDefault="002823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23069"/>
    <w:multiLevelType w:val="hybridMultilevel"/>
    <w:tmpl w:val="ED743C92"/>
    <w:lvl w:ilvl="0" w:tplc="3EA0FB9E">
      <w:start w:val="1"/>
      <w:numFmt w:val="bullet"/>
      <w:lvlText w:val=""/>
      <w:lvlJc w:val="left"/>
      <w:pPr>
        <w:tabs>
          <w:tab w:val="num" w:pos="720"/>
        </w:tabs>
        <w:ind w:left="720" w:hanging="360"/>
      </w:pPr>
      <w:rPr>
        <w:rFonts w:ascii="Symbol" w:hAnsi="Symbol"/>
        <w:b/>
        <w:color w:val="000000"/>
      </w:rPr>
    </w:lvl>
    <w:lvl w:ilvl="1" w:tplc="A4001104">
      <w:start w:val="1"/>
      <w:numFmt w:val="bullet"/>
      <w:lvlText w:val="o"/>
      <w:lvlJc w:val="left"/>
      <w:pPr>
        <w:tabs>
          <w:tab w:val="num" w:pos="1440"/>
        </w:tabs>
        <w:ind w:left="1440" w:hanging="360"/>
      </w:pPr>
      <w:rPr>
        <w:rFonts w:ascii="Courier New" w:hAnsi="Courier New"/>
      </w:rPr>
    </w:lvl>
    <w:lvl w:ilvl="2" w:tplc="02C8F170">
      <w:start w:val="1"/>
      <w:numFmt w:val="bullet"/>
      <w:lvlText w:val=""/>
      <w:lvlJc w:val="left"/>
      <w:pPr>
        <w:tabs>
          <w:tab w:val="num" w:pos="2160"/>
        </w:tabs>
        <w:ind w:left="2160" w:hanging="360"/>
      </w:pPr>
      <w:rPr>
        <w:rFonts w:ascii="Wingdings" w:hAnsi="Wingdings"/>
      </w:rPr>
    </w:lvl>
    <w:lvl w:ilvl="3" w:tplc="1F6858A0">
      <w:start w:val="1"/>
      <w:numFmt w:val="bullet"/>
      <w:lvlText w:val=""/>
      <w:lvlJc w:val="left"/>
      <w:pPr>
        <w:tabs>
          <w:tab w:val="num" w:pos="2880"/>
        </w:tabs>
        <w:ind w:left="2880" w:hanging="360"/>
      </w:pPr>
      <w:rPr>
        <w:rFonts w:ascii="Symbol" w:hAnsi="Symbol"/>
      </w:rPr>
    </w:lvl>
    <w:lvl w:ilvl="4" w:tplc="83B643F0">
      <w:start w:val="1"/>
      <w:numFmt w:val="bullet"/>
      <w:lvlText w:val="o"/>
      <w:lvlJc w:val="left"/>
      <w:pPr>
        <w:tabs>
          <w:tab w:val="num" w:pos="3600"/>
        </w:tabs>
        <w:ind w:left="3600" w:hanging="360"/>
      </w:pPr>
      <w:rPr>
        <w:rFonts w:ascii="Courier New" w:hAnsi="Courier New"/>
      </w:rPr>
    </w:lvl>
    <w:lvl w:ilvl="5" w:tplc="A9A0DF56">
      <w:start w:val="1"/>
      <w:numFmt w:val="bullet"/>
      <w:lvlText w:val=""/>
      <w:lvlJc w:val="left"/>
      <w:pPr>
        <w:tabs>
          <w:tab w:val="num" w:pos="4320"/>
        </w:tabs>
        <w:ind w:left="4320" w:hanging="360"/>
      </w:pPr>
      <w:rPr>
        <w:rFonts w:ascii="Wingdings" w:hAnsi="Wingdings"/>
      </w:rPr>
    </w:lvl>
    <w:lvl w:ilvl="6" w:tplc="92684276">
      <w:start w:val="1"/>
      <w:numFmt w:val="bullet"/>
      <w:lvlText w:val=""/>
      <w:lvlJc w:val="left"/>
      <w:pPr>
        <w:tabs>
          <w:tab w:val="num" w:pos="5040"/>
        </w:tabs>
        <w:ind w:left="5040" w:hanging="360"/>
      </w:pPr>
      <w:rPr>
        <w:rFonts w:ascii="Symbol" w:hAnsi="Symbol"/>
      </w:rPr>
    </w:lvl>
    <w:lvl w:ilvl="7" w:tplc="1CA8A962">
      <w:start w:val="1"/>
      <w:numFmt w:val="bullet"/>
      <w:lvlText w:val="o"/>
      <w:lvlJc w:val="left"/>
      <w:pPr>
        <w:tabs>
          <w:tab w:val="num" w:pos="5760"/>
        </w:tabs>
        <w:ind w:left="5760" w:hanging="360"/>
      </w:pPr>
      <w:rPr>
        <w:rFonts w:ascii="Courier New" w:hAnsi="Courier New"/>
      </w:rPr>
    </w:lvl>
    <w:lvl w:ilvl="8" w:tplc="A5DC6946">
      <w:start w:val="1"/>
      <w:numFmt w:val="bullet"/>
      <w:lvlText w:val=""/>
      <w:lvlJc w:val="left"/>
      <w:pPr>
        <w:tabs>
          <w:tab w:val="num" w:pos="6480"/>
        </w:tabs>
        <w:ind w:left="6480" w:hanging="360"/>
      </w:pPr>
      <w:rPr>
        <w:rFonts w:ascii="Wingdings" w:hAnsi="Wingdings"/>
      </w:rPr>
    </w:lvl>
  </w:abstractNum>
  <w:abstractNum w:abstractNumId="1" w15:restartNumberingAfterBreak="0">
    <w:nsid w:val="3DD14D12"/>
    <w:multiLevelType w:val="hybridMultilevel"/>
    <w:tmpl w:val="E5020FD2"/>
    <w:lvl w:ilvl="0" w:tplc="49FA7388">
      <w:start w:val="1"/>
      <w:numFmt w:val="bullet"/>
      <w:lvlText w:val=""/>
      <w:lvlJc w:val="left"/>
      <w:pPr>
        <w:tabs>
          <w:tab w:val="num" w:pos="1620"/>
        </w:tabs>
        <w:ind w:left="1620" w:hanging="360"/>
      </w:pPr>
      <w:rPr>
        <w:rFonts w:ascii="Symbol" w:hAnsi="Symbol"/>
        <w:b/>
      </w:rPr>
    </w:lvl>
    <w:lvl w:ilvl="1" w:tplc="9F0ACF3A">
      <w:start w:val="1"/>
      <w:numFmt w:val="bullet"/>
      <w:lvlText w:val="o"/>
      <w:lvlJc w:val="left"/>
      <w:pPr>
        <w:tabs>
          <w:tab w:val="num" w:pos="1440"/>
        </w:tabs>
        <w:ind w:left="1440" w:hanging="360"/>
      </w:pPr>
      <w:rPr>
        <w:rFonts w:ascii="Courier New" w:hAnsi="Courier New"/>
      </w:rPr>
    </w:lvl>
    <w:lvl w:ilvl="2" w:tplc="62BA04F2">
      <w:start w:val="1"/>
      <w:numFmt w:val="bullet"/>
      <w:lvlText w:val=""/>
      <w:lvlJc w:val="left"/>
      <w:pPr>
        <w:tabs>
          <w:tab w:val="num" w:pos="2160"/>
        </w:tabs>
        <w:ind w:left="2160" w:hanging="360"/>
      </w:pPr>
      <w:rPr>
        <w:rFonts w:ascii="Wingdings" w:hAnsi="Wingdings"/>
      </w:rPr>
    </w:lvl>
    <w:lvl w:ilvl="3" w:tplc="F7AE79CC">
      <w:start w:val="1"/>
      <w:numFmt w:val="bullet"/>
      <w:lvlText w:val=""/>
      <w:lvlJc w:val="left"/>
      <w:pPr>
        <w:tabs>
          <w:tab w:val="num" w:pos="2880"/>
        </w:tabs>
        <w:ind w:left="2880" w:hanging="360"/>
      </w:pPr>
      <w:rPr>
        <w:rFonts w:ascii="Symbol" w:hAnsi="Symbol"/>
      </w:rPr>
    </w:lvl>
    <w:lvl w:ilvl="4" w:tplc="29AAD7A6">
      <w:start w:val="1"/>
      <w:numFmt w:val="bullet"/>
      <w:lvlText w:val="o"/>
      <w:lvlJc w:val="left"/>
      <w:pPr>
        <w:tabs>
          <w:tab w:val="num" w:pos="3600"/>
        </w:tabs>
        <w:ind w:left="3600" w:hanging="360"/>
      </w:pPr>
      <w:rPr>
        <w:rFonts w:ascii="Courier New" w:hAnsi="Courier New"/>
      </w:rPr>
    </w:lvl>
    <w:lvl w:ilvl="5" w:tplc="ABA41EB2">
      <w:start w:val="1"/>
      <w:numFmt w:val="bullet"/>
      <w:lvlText w:val=""/>
      <w:lvlJc w:val="left"/>
      <w:pPr>
        <w:tabs>
          <w:tab w:val="num" w:pos="4320"/>
        </w:tabs>
        <w:ind w:left="4320" w:hanging="360"/>
      </w:pPr>
      <w:rPr>
        <w:rFonts w:ascii="Wingdings" w:hAnsi="Wingdings"/>
      </w:rPr>
    </w:lvl>
    <w:lvl w:ilvl="6" w:tplc="1396B620">
      <w:start w:val="1"/>
      <w:numFmt w:val="bullet"/>
      <w:lvlText w:val=""/>
      <w:lvlJc w:val="left"/>
      <w:pPr>
        <w:tabs>
          <w:tab w:val="num" w:pos="5040"/>
        </w:tabs>
        <w:ind w:left="5040" w:hanging="360"/>
      </w:pPr>
      <w:rPr>
        <w:rFonts w:ascii="Symbol" w:hAnsi="Symbol"/>
      </w:rPr>
    </w:lvl>
    <w:lvl w:ilvl="7" w:tplc="A1AA8CC2">
      <w:start w:val="1"/>
      <w:numFmt w:val="bullet"/>
      <w:lvlText w:val="o"/>
      <w:lvlJc w:val="left"/>
      <w:pPr>
        <w:tabs>
          <w:tab w:val="num" w:pos="5760"/>
        </w:tabs>
        <w:ind w:left="5760" w:hanging="360"/>
      </w:pPr>
      <w:rPr>
        <w:rFonts w:ascii="Courier New" w:hAnsi="Courier New"/>
      </w:rPr>
    </w:lvl>
    <w:lvl w:ilvl="8" w:tplc="7728A27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084"/>
    <w:rsid w:val="000B00C4"/>
    <w:rsid w:val="00206084"/>
    <w:rsid w:val="0028237E"/>
    <w:rsid w:val="007640A2"/>
    <w:rsid w:val="00795C98"/>
    <w:rsid w:val="008707A0"/>
    <w:rsid w:val="00B37488"/>
    <w:rsid w:val="00C80C4C"/>
    <w:rsid w:val="00F9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A248D"/>
  <w15:docId w15:val="{0A2908F1-5737-4DC9-B4AA-34C6783C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imes New Roman" w:hAnsi="Times New Roman"/>
      <w:sz w:val="28"/>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ae">
    <w:name w:val="Нижний колонтитул Знак"/>
    <w:link w:val="ad"/>
    <w:uiPriority w:val="99"/>
  </w:style>
  <w:style w:type="table" w:styleId="af0">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paragraph" w:customStyle="1" w:styleId="ConsNormal">
    <w:name w:val="ConsNormal"/>
    <w:pPr>
      <w:widowControl w:val="0"/>
      <w:ind w:right="19772" w:firstLine="720"/>
    </w:pPr>
    <w:rPr>
      <w:rFonts w:ascii="Arial" w:eastAsia="Times New Roman" w:hAnsi="Arial"/>
    </w:rPr>
  </w:style>
  <w:style w:type="paragraph" w:customStyle="1" w:styleId="ConsNonformat">
    <w:name w:val="ConsNonformat"/>
    <w:pPr>
      <w:widowControl w:val="0"/>
      <w:ind w:right="19772"/>
    </w:pPr>
    <w:rPr>
      <w:rFonts w:ascii="Courier New" w:eastAsia="Times New Roman" w:hAnsi="Courier New"/>
    </w:rPr>
  </w:style>
  <w:style w:type="paragraph" w:customStyle="1" w:styleId="ConsPlusNormal">
    <w:name w:val="ConsPlusNormal"/>
    <w:pPr>
      <w:widowControl w:val="0"/>
      <w:ind w:firstLine="720"/>
    </w:pPr>
    <w:rPr>
      <w:rFonts w:ascii="Arial" w:eastAsia="Times New Roman" w:hAnsi="Arial"/>
    </w:rPr>
  </w:style>
  <w:style w:type="character" w:customStyle="1" w:styleId="13">
    <w:name w:val="Основной текст1"/>
    <w:rPr>
      <w:color w:val="000000"/>
      <w:spacing w:val="4"/>
      <w:position w:val="0"/>
      <w:sz w:val="25"/>
      <w:szCs w:val="25"/>
      <w:shd w:val="clear" w:color="auto" w:fill="FFFFFF"/>
      <w:lang w:val="ru-RU"/>
    </w:rPr>
  </w:style>
  <w:style w:type="character" w:customStyle="1" w:styleId="25">
    <w:name w:val="Основной текст2"/>
    <w:rPr>
      <w:color w:val="000000"/>
      <w:spacing w:val="4"/>
      <w:position w:val="0"/>
      <w:sz w:val="25"/>
      <w:szCs w:val="25"/>
      <w:shd w:val="clear" w:color="auto" w:fill="FFFFFF"/>
    </w:rPr>
  </w:style>
  <w:style w:type="paragraph" w:styleId="afa">
    <w:name w:val="Body Text"/>
    <w:basedOn w:val="a"/>
    <w:link w:val="afb"/>
    <w:pPr>
      <w:jc w:val="both"/>
    </w:pPr>
    <w:rPr>
      <w:szCs w:val="20"/>
    </w:rPr>
  </w:style>
  <w:style w:type="character" w:customStyle="1" w:styleId="afb">
    <w:name w:val="Основной текст Знак"/>
    <w:link w:val="afa"/>
    <w:rPr>
      <w:rFonts w:ascii="Times New Roman" w:eastAsia="Times New Roman" w:hAnsi="Times New Roman"/>
      <w:sz w:val="28"/>
    </w:rPr>
  </w:style>
  <w:style w:type="character" w:customStyle="1" w:styleId="afc">
    <w:name w:val="Основной текст_"/>
    <w:link w:val="33"/>
    <w:rPr>
      <w:spacing w:val="4"/>
      <w:sz w:val="25"/>
      <w:szCs w:val="25"/>
      <w:shd w:val="clear" w:color="auto" w:fill="FFFFFF"/>
    </w:rPr>
  </w:style>
  <w:style w:type="paragraph" w:customStyle="1" w:styleId="33">
    <w:name w:val="Основной текст3"/>
    <w:basedOn w:val="a"/>
    <w:link w:val="afc"/>
    <w:pPr>
      <w:widowControl w:val="0"/>
      <w:shd w:val="clear" w:color="auto" w:fill="FFFFFF"/>
      <w:spacing w:after="120" w:line="0" w:lineRule="atLeast"/>
      <w:jc w:val="right"/>
    </w:pPr>
    <w:rPr>
      <w:rFonts w:ascii="Calibri" w:eastAsia="Calibri" w:hAnsi="Calibri"/>
      <w:spacing w:val="4"/>
      <w:sz w:val="25"/>
      <w:szCs w:val="25"/>
    </w:rPr>
  </w:style>
  <w:style w:type="paragraph" w:styleId="afd">
    <w:name w:val="Balloon Text"/>
    <w:basedOn w:val="a"/>
    <w:link w:val="afe"/>
    <w:semiHidden/>
    <w:rPr>
      <w:rFonts w:ascii="Segoe UI" w:hAnsi="Segoe UI"/>
      <w:sz w:val="18"/>
      <w:szCs w:val="18"/>
    </w:rPr>
  </w:style>
  <w:style w:type="character" w:customStyle="1" w:styleId="afe">
    <w:name w:val="Текст выноски Знак"/>
    <w:link w:val="afd"/>
    <w:semiHidden/>
    <w:rPr>
      <w:rFonts w:ascii="Segoe UI" w:eastAsia="Times New Roman"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Надежда Н.А. Галко</cp:lastModifiedBy>
  <cp:revision>7</cp:revision>
  <dcterms:created xsi:type="dcterms:W3CDTF">2024-01-19T07:16:00Z</dcterms:created>
  <dcterms:modified xsi:type="dcterms:W3CDTF">2024-01-22T09:45:00Z</dcterms:modified>
</cp:coreProperties>
</file>